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05A" w:rsidRPr="00F168D2" w:rsidRDefault="0039505A" w:rsidP="0077643C">
      <w:pPr>
        <w:spacing w:line="360" w:lineRule="auto"/>
        <w:rPr>
          <w:rFonts w:eastAsia="仿宋_GB2312"/>
          <w:sz w:val="28"/>
          <w:szCs w:val="28"/>
        </w:rPr>
      </w:pPr>
    </w:p>
    <w:p w:rsidR="00C8790B" w:rsidRPr="00BE6865" w:rsidRDefault="0077643C" w:rsidP="0077643C">
      <w:pPr>
        <w:spacing w:line="360" w:lineRule="auto"/>
        <w:jc w:val="center"/>
        <w:rPr>
          <w:rFonts w:ascii="黑体" w:eastAsia="黑体" w:hAnsi="黑体"/>
          <w:b/>
          <w:sz w:val="36"/>
          <w:szCs w:val="36"/>
        </w:rPr>
      </w:pPr>
      <w:r w:rsidRPr="00BE6865">
        <w:rPr>
          <w:rFonts w:ascii="黑体" w:eastAsia="黑体" w:hAnsi="黑体" w:hint="eastAsia"/>
          <w:b/>
          <w:sz w:val="36"/>
          <w:szCs w:val="36"/>
        </w:rPr>
        <w:t>长江安享</w:t>
      </w:r>
      <w:r w:rsidR="00FD14D3">
        <w:rPr>
          <w:rFonts w:ascii="黑体" w:eastAsia="黑体" w:hAnsi="黑体" w:hint="eastAsia"/>
          <w:b/>
          <w:sz w:val="36"/>
          <w:szCs w:val="36"/>
        </w:rPr>
        <w:t>人生</w:t>
      </w:r>
      <w:r w:rsidRPr="00BE6865">
        <w:rPr>
          <w:rFonts w:ascii="黑体" w:eastAsia="黑体" w:hAnsi="黑体" w:hint="eastAsia"/>
          <w:b/>
          <w:sz w:val="36"/>
          <w:szCs w:val="36"/>
        </w:rPr>
        <w:t>个人养老保障管理产品</w:t>
      </w:r>
    </w:p>
    <w:p w:rsidR="0077643C" w:rsidRPr="00BE6865" w:rsidRDefault="0077643C" w:rsidP="0077643C">
      <w:pPr>
        <w:spacing w:line="360" w:lineRule="auto"/>
        <w:jc w:val="center"/>
        <w:rPr>
          <w:rFonts w:ascii="黑体" w:eastAsia="黑体" w:hAnsi="黑体"/>
          <w:b/>
          <w:sz w:val="36"/>
          <w:szCs w:val="36"/>
        </w:rPr>
      </w:pPr>
      <w:r w:rsidRPr="00BE6865">
        <w:rPr>
          <w:rFonts w:ascii="黑体" w:eastAsia="黑体" w:hAnsi="黑体" w:hint="eastAsia"/>
          <w:b/>
          <w:sz w:val="36"/>
          <w:szCs w:val="36"/>
        </w:rPr>
        <w:t>投资风险提示函</w:t>
      </w:r>
    </w:p>
    <w:p w:rsidR="0077643C" w:rsidRPr="00F168D2" w:rsidRDefault="0077643C" w:rsidP="0077643C">
      <w:pPr>
        <w:spacing w:line="360" w:lineRule="auto"/>
        <w:jc w:val="center"/>
        <w:rPr>
          <w:rFonts w:eastAsia="仿宋_GB2312"/>
          <w:sz w:val="28"/>
          <w:szCs w:val="28"/>
        </w:rPr>
      </w:pPr>
    </w:p>
    <w:p w:rsidR="0077643C" w:rsidRDefault="0077643C" w:rsidP="0077643C">
      <w:pPr>
        <w:spacing w:line="360" w:lineRule="auto"/>
        <w:ind w:firstLineChars="200" w:firstLine="560"/>
        <w:rPr>
          <w:rFonts w:eastAsia="仿宋_GB2312"/>
          <w:sz w:val="28"/>
          <w:szCs w:val="28"/>
        </w:rPr>
      </w:pPr>
      <w:r>
        <w:rPr>
          <w:rFonts w:eastAsia="仿宋_GB2312" w:hint="eastAsia"/>
          <w:sz w:val="28"/>
          <w:szCs w:val="28"/>
        </w:rPr>
        <w:t>各委托人</w:t>
      </w:r>
      <w:r>
        <w:rPr>
          <w:rFonts w:eastAsia="仿宋_GB2312" w:hint="eastAsia"/>
          <w:sz w:val="28"/>
          <w:szCs w:val="28"/>
        </w:rPr>
        <w:t>:</w:t>
      </w:r>
    </w:p>
    <w:p w:rsidR="0077643C" w:rsidRPr="00F168D2" w:rsidRDefault="0077643C" w:rsidP="0077643C">
      <w:pPr>
        <w:spacing w:line="360" w:lineRule="auto"/>
        <w:ind w:firstLineChars="200" w:firstLine="560"/>
        <w:rPr>
          <w:rFonts w:eastAsia="仿宋_GB2312"/>
          <w:b/>
          <w:sz w:val="28"/>
          <w:szCs w:val="28"/>
        </w:rPr>
      </w:pPr>
      <w:r w:rsidRPr="00F168D2">
        <w:rPr>
          <w:rFonts w:eastAsia="仿宋_GB2312"/>
          <w:sz w:val="28"/>
          <w:szCs w:val="28"/>
        </w:rPr>
        <w:t>本产品在投资运作过程中可能面临各种风险，包括但不限于市场风险、信用风险、操作风险、利率风险、流动性风险以及战争、自然灾害等不可抗力导致的养老保障管理基金损失。</w:t>
      </w:r>
    </w:p>
    <w:p w:rsidR="0077643C" w:rsidRPr="00F168D2" w:rsidRDefault="0077643C" w:rsidP="0077643C">
      <w:pPr>
        <w:spacing w:line="360" w:lineRule="auto"/>
        <w:ind w:firstLineChars="200" w:firstLine="560"/>
        <w:rPr>
          <w:rFonts w:eastAsia="仿宋_GB2312"/>
          <w:sz w:val="28"/>
          <w:szCs w:val="28"/>
        </w:rPr>
      </w:pPr>
      <w:r w:rsidRPr="00F168D2">
        <w:rPr>
          <w:rFonts w:eastAsia="仿宋_GB2312"/>
          <w:sz w:val="28"/>
          <w:szCs w:val="28"/>
        </w:rPr>
        <w:t>主要风险说明如下：</w:t>
      </w:r>
    </w:p>
    <w:p w:rsidR="0077643C" w:rsidRPr="00F168D2" w:rsidRDefault="0077643C" w:rsidP="0077643C">
      <w:pPr>
        <w:spacing w:line="360" w:lineRule="auto"/>
        <w:ind w:firstLineChars="200" w:firstLine="560"/>
        <w:rPr>
          <w:rFonts w:eastAsia="仿宋_GB2312"/>
          <w:sz w:val="28"/>
          <w:szCs w:val="28"/>
        </w:rPr>
      </w:pPr>
      <w:r w:rsidRPr="00F168D2">
        <w:rPr>
          <w:rFonts w:eastAsia="仿宋_GB2312"/>
          <w:sz w:val="28"/>
          <w:szCs w:val="28"/>
        </w:rPr>
        <w:t>一、市场风险：本产品投资品种的市场价格因受多种因素影响而上下波动，可能导致本产品份额净值在存续期内波动或跌破面值。</w:t>
      </w:r>
    </w:p>
    <w:p w:rsidR="0077643C" w:rsidRPr="00F168D2" w:rsidRDefault="0077643C" w:rsidP="0077643C">
      <w:pPr>
        <w:pStyle w:val="a6"/>
        <w:ind w:firstLineChars="200" w:firstLine="560"/>
        <w:rPr>
          <w:rFonts w:eastAsia="仿宋_GB2312"/>
          <w:sz w:val="28"/>
          <w:szCs w:val="28"/>
        </w:rPr>
      </w:pPr>
      <w:r w:rsidRPr="00F168D2">
        <w:rPr>
          <w:rFonts w:eastAsia="仿宋_GB2312"/>
          <w:sz w:val="28"/>
          <w:szCs w:val="28"/>
        </w:rPr>
        <w:t>二、信用风险：在投资交易活动中，由于信用敏感性资产的发行人及担保人（包括但不限于存款银行、债券发行人及担保人、其他借款方等）或交易对手破产、或不能履行约定及承诺、或不能如期足额支付应付本金、利息或其他债务的风险，或由于履约可能性降低、信用评级结果降低所给信用敏感性资产的价值造成损失的风险。</w:t>
      </w:r>
    </w:p>
    <w:p w:rsidR="0077643C" w:rsidRPr="00F168D2" w:rsidRDefault="0077643C" w:rsidP="0077643C">
      <w:pPr>
        <w:pStyle w:val="a6"/>
        <w:ind w:firstLineChars="200" w:firstLine="560"/>
        <w:rPr>
          <w:rFonts w:eastAsia="仿宋_GB2312"/>
          <w:sz w:val="28"/>
          <w:szCs w:val="28"/>
        </w:rPr>
      </w:pPr>
      <w:r w:rsidRPr="00F168D2">
        <w:rPr>
          <w:rFonts w:eastAsia="仿宋_GB2312"/>
          <w:sz w:val="28"/>
          <w:szCs w:val="28"/>
        </w:rPr>
        <w:t>三、流动性风险：在投资活动中，本产品所投资资产不能随时转换为现金或者转换为现金的能力降低的风险，以及缺乏足够的现金或随时能转换为现金的其他资产造成的支付风险。</w:t>
      </w:r>
    </w:p>
    <w:p w:rsidR="0077643C" w:rsidRPr="00F168D2" w:rsidRDefault="0077643C" w:rsidP="0077643C">
      <w:pPr>
        <w:spacing w:line="360" w:lineRule="auto"/>
        <w:ind w:firstLineChars="200" w:firstLine="560"/>
        <w:rPr>
          <w:rFonts w:eastAsia="仿宋_GB2312"/>
          <w:sz w:val="28"/>
          <w:szCs w:val="28"/>
        </w:rPr>
      </w:pPr>
      <w:r w:rsidRPr="00F168D2">
        <w:rPr>
          <w:rFonts w:eastAsia="仿宋_GB2312"/>
          <w:sz w:val="28"/>
          <w:szCs w:val="28"/>
        </w:rPr>
        <w:t>四、利率风险：利率风险是指由于利率变动而导致的资产价格和资产利息的损益。利率波动会直接影响企业的融资成本和利润水平，导致证券市场的价格和收益率的变动，使本产品收益水平随之发生变</w:t>
      </w:r>
      <w:r w:rsidRPr="00F168D2">
        <w:rPr>
          <w:rFonts w:eastAsia="仿宋_GB2312"/>
          <w:sz w:val="28"/>
          <w:szCs w:val="28"/>
        </w:rPr>
        <w:lastRenderedPageBreak/>
        <w:t>化，从而产生风险。</w:t>
      </w:r>
    </w:p>
    <w:p w:rsidR="0077643C" w:rsidRPr="00F168D2" w:rsidRDefault="0077643C" w:rsidP="0077643C">
      <w:pPr>
        <w:pStyle w:val="a6"/>
        <w:ind w:firstLineChars="200" w:firstLine="560"/>
        <w:rPr>
          <w:rFonts w:eastAsia="仿宋_GB2312"/>
          <w:sz w:val="28"/>
          <w:szCs w:val="28"/>
        </w:rPr>
      </w:pPr>
      <w:bookmarkStart w:id="0" w:name="_GoBack"/>
      <w:bookmarkEnd w:id="0"/>
      <w:r w:rsidRPr="00F168D2">
        <w:rPr>
          <w:rFonts w:eastAsia="仿宋_GB2312"/>
          <w:sz w:val="28"/>
          <w:szCs w:val="28"/>
        </w:rPr>
        <w:t>五、操作风险：操作风险是指由于操作流程不完善、人为过错和信息系统故障等原因导致损失的可能性。</w:t>
      </w:r>
    </w:p>
    <w:p w:rsidR="0077643C" w:rsidRPr="00F168D2" w:rsidRDefault="0077643C" w:rsidP="0077643C">
      <w:pPr>
        <w:spacing w:line="360" w:lineRule="auto"/>
        <w:ind w:firstLineChars="200" w:firstLine="560"/>
        <w:rPr>
          <w:rFonts w:eastAsia="仿宋_GB2312"/>
          <w:sz w:val="28"/>
          <w:szCs w:val="28"/>
        </w:rPr>
      </w:pPr>
      <w:r w:rsidRPr="00F168D2">
        <w:rPr>
          <w:rFonts w:eastAsia="仿宋_GB2312"/>
          <w:sz w:val="28"/>
          <w:szCs w:val="28"/>
        </w:rPr>
        <w:t>六、不可抗力风险：指由于自然灾害、战争等不可抗力因素的出现，将严重影响金融市场的正常运行，从而导致本产品资产收益降低或损失，甚至影响本产品的受理、投资、偿还等程序的正常进行，进而影响本产品的资金安全。</w:t>
      </w:r>
      <w:r w:rsidRPr="00F168D2">
        <w:rPr>
          <w:rFonts w:eastAsia="仿宋_GB2312"/>
          <w:sz w:val="28"/>
          <w:szCs w:val="28"/>
        </w:rPr>
        <w:t>“</w:t>
      </w:r>
      <w:r w:rsidRPr="00F168D2">
        <w:rPr>
          <w:rFonts w:eastAsia="仿宋_GB2312"/>
          <w:sz w:val="28"/>
          <w:szCs w:val="28"/>
        </w:rPr>
        <w:t>不可抗力</w:t>
      </w:r>
      <w:r w:rsidRPr="00F168D2">
        <w:rPr>
          <w:rFonts w:eastAsia="仿宋_GB2312"/>
          <w:sz w:val="28"/>
          <w:szCs w:val="28"/>
        </w:rPr>
        <w:t>”</w:t>
      </w:r>
      <w:r w:rsidRPr="00F168D2">
        <w:rPr>
          <w:rFonts w:eastAsia="仿宋_GB2312"/>
          <w:sz w:val="28"/>
          <w:szCs w:val="28"/>
        </w:rPr>
        <w:t>是指交易各方不能合理控制、不可预见或即使预见亦无法避免的事件，该事件妨碍、影响或延误任何一方根据本产品说明履行其全部或部分义务，该事件包括但不限于地震、台风、洪水、水灾、其他天灾、战争、骚乱、罢工或其他类似事件、新法规颁布或对原法规的修改等政策因素。</w:t>
      </w:r>
    </w:p>
    <w:p w:rsidR="0077643C" w:rsidRPr="0039505A" w:rsidRDefault="0077643C" w:rsidP="0039505A">
      <w:pPr>
        <w:autoSpaceDE w:val="0"/>
        <w:autoSpaceDN w:val="0"/>
        <w:adjustRightInd w:val="0"/>
        <w:spacing w:line="360" w:lineRule="auto"/>
        <w:ind w:firstLineChars="200" w:firstLine="560"/>
        <w:jc w:val="left"/>
        <w:rPr>
          <w:rFonts w:eastAsia="仿宋_GB2312"/>
          <w:sz w:val="28"/>
          <w:szCs w:val="28"/>
        </w:rPr>
      </w:pPr>
      <w:r w:rsidRPr="00F168D2">
        <w:rPr>
          <w:rFonts w:eastAsia="仿宋_GB2312"/>
          <w:sz w:val="28"/>
          <w:szCs w:val="28"/>
        </w:rPr>
        <w:t>七、其他风险：指战争、自然灾害等不可抗力因素或其他超出管理人自身直接控制能力之外的因素，导致资产损失的风险。</w:t>
      </w:r>
    </w:p>
    <w:p w:rsidR="0077643C" w:rsidRDefault="0077643C" w:rsidP="0077643C">
      <w:pPr>
        <w:spacing w:line="360" w:lineRule="auto"/>
        <w:ind w:firstLineChars="200" w:firstLine="560"/>
        <w:rPr>
          <w:rFonts w:eastAsia="仿宋_GB2312"/>
          <w:sz w:val="28"/>
          <w:szCs w:val="28"/>
        </w:rPr>
      </w:pPr>
      <w:r w:rsidRPr="00F168D2">
        <w:rPr>
          <w:rFonts w:eastAsia="仿宋_GB2312"/>
          <w:sz w:val="28"/>
          <w:szCs w:val="28"/>
        </w:rPr>
        <w:t>本产品经过中国保监会备案，但备案并不表明其对本产品的价值和收益做出实质性判断或保证，也不表明投资本产品没有风险，本产品基金在运作过程中发生的风险由委托投资资产承担。</w:t>
      </w:r>
    </w:p>
    <w:p w:rsidR="006E33FA" w:rsidRPr="0077643C" w:rsidRDefault="0077643C" w:rsidP="0077643C">
      <w:pPr>
        <w:spacing w:line="360" w:lineRule="auto"/>
        <w:ind w:firstLineChars="200" w:firstLine="560"/>
        <w:rPr>
          <w:rFonts w:eastAsia="仿宋_GB2312"/>
          <w:sz w:val="28"/>
          <w:szCs w:val="28"/>
        </w:rPr>
      </w:pPr>
      <w:r>
        <w:rPr>
          <w:rFonts w:eastAsia="仿宋_GB2312" w:hint="eastAsia"/>
          <w:sz w:val="28"/>
          <w:szCs w:val="28"/>
        </w:rPr>
        <w:t>各</w:t>
      </w:r>
      <w:r w:rsidRPr="00F168D2">
        <w:rPr>
          <w:rFonts w:eastAsia="仿宋_GB2312"/>
          <w:sz w:val="28"/>
          <w:szCs w:val="28"/>
        </w:rPr>
        <w:t>委托人应当认真阅读《长江安享</w:t>
      </w:r>
      <w:r w:rsidR="00FD14D3">
        <w:rPr>
          <w:rFonts w:eastAsia="仿宋_GB2312"/>
          <w:sz w:val="28"/>
          <w:szCs w:val="28"/>
        </w:rPr>
        <w:t>人生</w:t>
      </w:r>
      <w:r w:rsidRPr="00F168D2">
        <w:rPr>
          <w:rFonts w:eastAsia="仿宋_GB2312"/>
          <w:sz w:val="28"/>
          <w:szCs w:val="28"/>
        </w:rPr>
        <w:t>个人养老保障管理产品受托管理合同》和《长江安享</w:t>
      </w:r>
      <w:r w:rsidR="00FD14D3">
        <w:rPr>
          <w:rFonts w:eastAsia="仿宋_GB2312"/>
          <w:sz w:val="28"/>
          <w:szCs w:val="28"/>
        </w:rPr>
        <w:t>人生</w:t>
      </w:r>
      <w:r w:rsidRPr="00F168D2">
        <w:rPr>
          <w:rFonts w:eastAsia="仿宋_GB2312"/>
          <w:sz w:val="28"/>
          <w:szCs w:val="28"/>
        </w:rPr>
        <w:t>个人养老保障管理产品投资组合说明书》等文件，了解所参加组合的投资理念、投资目标、风险收益特征，并根据自身的投资目的、封闭期限、投资经验、资产状况等判断所选择的投资组合是否与委托人的风险承受能力相适应。</w:t>
      </w:r>
    </w:p>
    <w:sectPr w:rsidR="006E33FA" w:rsidRPr="0077643C" w:rsidSect="0010391F">
      <w:footerReference w:type="even" r:id="rId6"/>
      <w:footerReference w:type="default" r:id="rId7"/>
      <w:pgSz w:w="11906" w:h="16838" w:code="9"/>
      <w:pgMar w:top="1440" w:right="1800" w:bottom="1440" w:left="1800" w:header="1134" w:footer="1418"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8EF" w:rsidRDefault="008148EF" w:rsidP="0077643C">
      <w:r>
        <w:separator/>
      </w:r>
    </w:p>
  </w:endnote>
  <w:endnote w:type="continuationSeparator" w:id="1">
    <w:p w:rsidR="008148EF" w:rsidRDefault="008148EF" w:rsidP="007764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9CF" w:rsidRDefault="003569C4" w:rsidP="008962CE">
    <w:pPr>
      <w:pStyle w:val="a4"/>
      <w:framePr w:wrap="around" w:vAnchor="text" w:hAnchor="margin" w:xAlign="center" w:y="1"/>
      <w:rPr>
        <w:rStyle w:val="a5"/>
      </w:rPr>
    </w:pPr>
    <w:r>
      <w:rPr>
        <w:rStyle w:val="a5"/>
      </w:rPr>
      <w:fldChar w:fldCharType="begin"/>
    </w:r>
    <w:r w:rsidR="006E33FA">
      <w:rPr>
        <w:rStyle w:val="a5"/>
      </w:rPr>
      <w:instrText xml:space="preserve">PAGE  </w:instrText>
    </w:r>
    <w:r>
      <w:rPr>
        <w:rStyle w:val="a5"/>
      </w:rPr>
      <w:fldChar w:fldCharType="end"/>
    </w:r>
  </w:p>
  <w:p w:rsidR="008769CF" w:rsidRDefault="008148E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9CF" w:rsidRDefault="003569C4" w:rsidP="005046DD">
    <w:pPr>
      <w:pStyle w:val="a4"/>
      <w:framePr w:wrap="around" w:vAnchor="text" w:hAnchor="margin" w:xAlign="center" w:y="1"/>
      <w:rPr>
        <w:rStyle w:val="a5"/>
      </w:rPr>
    </w:pPr>
    <w:r>
      <w:rPr>
        <w:rStyle w:val="a5"/>
      </w:rPr>
      <w:fldChar w:fldCharType="begin"/>
    </w:r>
    <w:r w:rsidR="006E33FA">
      <w:rPr>
        <w:rStyle w:val="a5"/>
      </w:rPr>
      <w:instrText xml:space="preserve">PAGE  </w:instrText>
    </w:r>
    <w:r>
      <w:rPr>
        <w:rStyle w:val="a5"/>
      </w:rPr>
      <w:fldChar w:fldCharType="separate"/>
    </w:r>
    <w:r w:rsidR="00E70E39">
      <w:rPr>
        <w:rStyle w:val="a5"/>
        <w:noProof/>
      </w:rPr>
      <w:t>2</w:t>
    </w:r>
    <w:r>
      <w:rPr>
        <w:rStyle w:val="a5"/>
      </w:rPr>
      <w:fldChar w:fldCharType="end"/>
    </w:r>
  </w:p>
  <w:p w:rsidR="008769CF" w:rsidRDefault="008148E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8EF" w:rsidRDefault="008148EF" w:rsidP="0077643C">
      <w:r>
        <w:separator/>
      </w:r>
    </w:p>
  </w:footnote>
  <w:footnote w:type="continuationSeparator" w:id="1">
    <w:p w:rsidR="008148EF" w:rsidRDefault="008148EF" w:rsidP="007764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643C"/>
    <w:rsid w:val="0001413F"/>
    <w:rsid w:val="00097E48"/>
    <w:rsid w:val="000F1F59"/>
    <w:rsid w:val="003569C4"/>
    <w:rsid w:val="0039505A"/>
    <w:rsid w:val="006E33FA"/>
    <w:rsid w:val="0077643C"/>
    <w:rsid w:val="008148EF"/>
    <w:rsid w:val="008E7210"/>
    <w:rsid w:val="00AB19E1"/>
    <w:rsid w:val="00B02D07"/>
    <w:rsid w:val="00B77A00"/>
    <w:rsid w:val="00BE6865"/>
    <w:rsid w:val="00BF4DA9"/>
    <w:rsid w:val="00C8790B"/>
    <w:rsid w:val="00D32027"/>
    <w:rsid w:val="00E70E39"/>
    <w:rsid w:val="00F629C2"/>
    <w:rsid w:val="00FD14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2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64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7643C"/>
    <w:rPr>
      <w:sz w:val="18"/>
      <w:szCs w:val="18"/>
    </w:rPr>
  </w:style>
  <w:style w:type="paragraph" w:styleId="a4">
    <w:name w:val="footer"/>
    <w:basedOn w:val="a"/>
    <w:link w:val="Char0"/>
    <w:uiPriority w:val="99"/>
    <w:unhideWhenUsed/>
    <w:rsid w:val="0077643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7643C"/>
    <w:rPr>
      <w:sz w:val="18"/>
      <w:szCs w:val="18"/>
    </w:rPr>
  </w:style>
  <w:style w:type="character" w:styleId="a5">
    <w:name w:val="page number"/>
    <w:basedOn w:val="a0"/>
    <w:uiPriority w:val="99"/>
    <w:rsid w:val="0077643C"/>
    <w:rPr>
      <w:rFonts w:cs="Times New Roman"/>
    </w:rPr>
  </w:style>
  <w:style w:type="paragraph" w:styleId="a6">
    <w:name w:val="annotation text"/>
    <w:basedOn w:val="a"/>
    <w:link w:val="Char1"/>
    <w:uiPriority w:val="99"/>
    <w:rsid w:val="0077643C"/>
    <w:pPr>
      <w:jc w:val="left"/>
    </w:pPr>
    <w:rPr>
      <w:rFonts w:ascii="Times New Roman" w:eastAsia="宋体" w:hAnsi="Times New Roman" w:cs="Times New Roman"/>
      <w:szCs w:val="24"/>
    </w:rPr>
  </w:style>
  <w:style w:type="character" w:customStyle="1" w:styleId="Char1">
    <w:name w:val="批注文字 Char"/>
    <w:basedOn w:val="a0"/>
    <w:link w:val="a6"/>
    <w:uiPriority w:val="99"/>
    <w:rsid w:val="0077643C"/>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158</Words>
  <Characters>907</Characters>
  <Application>Microsoft Office Word</Application>
  <DocSecurity>0</DocSecurity>
  <Lines>7</Lines>
  <Paragraphs>2</Paragraphs>
  <ScaleCrop>false</ScaleCrop>
  <Company>Microsoft</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周颖</dc:creator>
  <cp:keywords/>
  <dc:description/>
  <cp:lastModifiedBy>姜智</cp:lastModifiedBy>
  <cp:revision>9</cp:revision>
  <dcterms:created xsi:type="dcterms:W3CDTF">2015-11-12T05:49:00Z</dcterms:created>
  <dcterms:modified xsi:type="dcterms:W3CDTF">2016-03-04T06:01:00Z</dcterms:modified>
</cp:coreProperties>
</file>